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3DF" w:rsidRPr="003723DF" w:rsidRDefault="003723DF" w:rsidP="003723DF">
      <w:pPr>
        <w:spacing w:after="0" w:line="240" w:lineRule="auto"/>
        <w:textAlignment w:val="top"/>
        <w:outlineLvl w:val="0"/>
        <w:rPr>
          <w:rFonts w:eastAsia="Times New Roman" w:cs="Times New Roman"/>
          <w:b/>
          <w:bCs/>
          <w:kern w:val="36"/>
        </w:rPr>
      </w:pPr>
      <w:r w:rsidRPr="003723DF">
        <w:rPr>
          <w:rFonts w:eastAsia="Times New Roman" w:cs="Times New Roman"/>
          <w:b/>
          <w:bCs/>
          <w:kern w:val="36"/>
        </w:rPr>
        <w:t>Expedited</w:t>
      </w:r>
    </w:p>
    <w:p w:rsidR="003723DF" w:rsidRPr="003723DF" w:rsidRDefault="003723DF" w:rsidP="003723DF">
      <w:pPr>
        <w:numPr>
          <w:ilvl w:val="0"/>
          <w:numId w:val="4"/>
        </w:numPr>
        <w:spacing w:after="0" w:line="240" w:lineRule="auto"/>
        <w:rPr>
          <w:rFonts w:eastAsia="Times New Roman" w:cs="Times New Roman"/>
        </w:rPr>
      </w:pPr>
      <w:r w:rsidRPr="003723DF">
        <w:rPr>
          <w:rFonts w:eastAsia="Times New Roman" w:cs="Times New Roman"/>
        </w:rPr>
        <w:t>An expedited review procedure consists of a review of research involving human subjects by the IRB Chairperson or by one or more experienced reviewers designated by the Chairperson from among members of the IRB in accordance with the requirements set forth in 45 CFR 46.110.</w:t>
      </w:r>
    </w:p>
    <w:p w:rsidR="003723DF" w:rsidRPr="003723DF" w:rsidRDefault="003723DF" w:rsidP="003723DF">
      <w:pPr>
        <w:numPr>
          <w:ilvl w:val="0"/>
          <w:numId w:val="4"/>
        </w:numPr>
        <w:spacing w:after="0" w:line="240" w:lineRule="auto"/>
        <w:rPr>
          <w:rFonts w:eastAsia="Times New Roman" w:cs="Times New Roman"/>
        </w:rPr>
      </w:pPr>
      <w:r w:rsidRPr="003723DF">
        <w:rPr>
          <w:rFonts w:eastAsia="Times New Roman" w:cs="Times New Roman"/>
        </w:rPr>
        <w:t>There are no deadlines for IRB applications qualifying for Expedited Review.</w:t>
      </w:r>
    </w:p>
    <w:p w:rsidR="003723DF" w:rsidRPr="003723DF" w:rsidRDefault="003723DF" w:rsidP="003723DF">
      <w:pPr>
        <w:numPr>
          <w:ilvl w:val="0"/>
          <w:numId w:val="4"/>
        </w:numPr>
        <w:spacing w:after="0" w:line="240" w:lineRule="auto"/>
        <w:rPr>
          <w:rFonts w:eastAsia="Times New Roman" w:cs="Times New Roman"/>
        </w:rPr>
      </w:pPr>
      <w:r w:rsidRPr="003723DF">
        <w:rPr>
          <w:rFonts w:eastAsia="Times New Roman" w:cs="Times New Roman"/>
        </w:rPr>
        <w:t>IRB approval will be granted for a determined length of time not to exceed one year. The IRB approval expiration date will be specified in the approval letter. Continuing review is required for re-approval if the research is to continue beyond the expiration date.</w:t>
      </w:r>
    </w:p>
    <w:p w:rsidR="003723DF" w:rsidRPr="003723DF" w:rsidRDefault="003723DF" w:rsidP="003723DF">
      <w:pPr>
        <w:numPr>
          <w:ilvl w:val="0"/>
          <w:numId w:val="4"/>
        </w:numPr>
        <w:spacing w:after="0" w:line="240" w:lineRule="auto"/>
        <w:rPr>
          <w:rFonts w:eastAsia="Times New Roman" w:cs="Times New Roman"/>
        </w:rPr>
      </w:pPr>
      <w:r w:rsidRPr="003723DF">
        <w:rPr>
          <w:rFonts w:eastAsia="Times New Roman" w:cs="Times New Roman"/>
        </w:rPr>
        <w:t>Unless waived by the IRB, signed consent must be obtained from all subjects prior to their involvement in the research.</w:t>
      </w:r>
    </w:p>
    <w:p w:rsidR="003723DF" w:rsidRPr="003723DF" w:rsidRDefault="003723DF" w:rsidP="003723DF">
      <w:pPr>
        <w:numPr>
          <w:ilvl w:val="0"/>
          <w:numId w:val="4"/>
        </w:numPr>
        <w:spacing w:after="0" w:line="240" w:lineRule="auto"/>
        <w:rPr>
          <w:rFonts w:eastAsia="Times New Roman" w:cs="Times New Roman"/>
        </w:rPr>
      </w:pPr>
      <w:r w:rsidRPr="003723DF">
        <w:rPr>
          <w:rFonts w:eastAsia="Times New Roman" w:cs="Times New Roman"/>
        </w:rPr>
        <w:t>The IRB holds the authority to recommend or require modifications to submitted IRB materials at any time.</w:t>
      </w:r>
    </w:p>
    <w:p w:rsidR="003723DF" w:rsidRPr="003723DF" w:rsidRDefault="003723DF" w:rsidP="003723DF">
      <w:pPr>
        <w:numPr>
          <w:ilvl w:val="0"/>
          <w:numId w:val="4"/>
        </w:numPr>
        <w:spacing w:after="0" w:line="240" w:lineRule="auto"/>
        <w:rPr>
          <w:rFonts w:eastAsia="Times New Roman" w:cs="Times New Roman"/>
        </w:rPr>
      </w:pPr>
      <w:r w:rsidRPr="003723DF">
        <w:rPr>
          <w:rFonts w:eastAsia="Times New Roman" w:cs="Times New Roman"/>
        </w:rPr>
        <w:t>Modifications to or additions/deletions of human subject research-related documents (including the research protocol) must be approved by the IRB prior to implementation (except where necessary to eliminate apparent immediate hazards to subjects).</w:t>
      </w:r>
    </w:p>
    <w:p w:rsidR="003723DF" w:rsidRPr="003723DF" w:rsidRDefault="003723DF" w:rsidP="003723DF">
      <w:pPr>
        <w:numPr>
          <w:ilvl w:val="0"/>
          <w:numId w:val="4"/>
        </w:numPr>
        <w:spacing w:after="0" w:line="240" w:lineRule="auto"/>
        <w:rPr>
          <w:rFonts w:eastAsia="Times New Roman" w:cs="Times New Roman"/>
        </w:rPr>
      </w:pPr>
      <w:r w:rsidRPr="003723DF">
        <w:rPr>
          <w:rFonts w:eastAsia="Times New Roman" w:cs="Times New Roman"/>
        </w:rPr>
        <w:t>It is the researchers' responsibility to report promptly to the IRB any injuries or other unanticipated or adverse events involving risks or harms to human research subjects or others.</w:t>
      </w:r>
    </w:p>
    <w:p w:rsidR="003723DF" w:rsidRPr="003723DF" w:rsidRDefault="003723DF" w:rsidP="003723DF">
      <w:pPr>
        <w:numPr>
          <w:ilvl w:val="0"/>
          <w:numId w:val="4"/>
        </w:numPr>
        <w:spacing w:after="0" w:line="240" w:lineRule="auto"/>
        <w:rPr>
          <w:rFonts w:eastAsia="Times New Roman" w:cs="Times New Roman"/>
        </w:rPr>
      </w:pPr>
      <w:r w:rsidRPr="003723DF">
        <w:rPr>
          <w:rFonts w:eastAsia="Times New Roman" w:cs="Times New Roman"/>
        </w:rPr>
        <w:t>Once approved, involved researchers are notified of the Expedited approval via an official Expedited approval letter sent via email.</w:t>
      </w:r>
    </w:p>
    <w:p w:rsidR="003723DF" w:rsidRPr="003723DF" w:rsidRDefault="003723DF" w:rsidP="003723DF">
      <w:pPr>
        <w:spacing w:after="0" w:line="240" w:lineRule="auto"/>
        <w:rPr>
          <w:rFonts w:eastAsia="Times New Roman" w:cs="Times New Roman"/>
        </w:rPr>
      </w:pPr>
      <w:r w:rsidRPr="003723DF">
        <w:rPr>
          <w:rFonts w:eastAsia="Times New Roman" w:cs="Times New Roman"/>
        </w:rPr>
        <w:t>To qualify for Expedited Review, the research must meet all of the following criteria:</w:t>
      </w:r>
    </w:p>
    <w:p w:rsidR="003723DF" w:rsidRPr="003723DF" w:rsidRDefault="003723DF" w:rsidP="003723DF">
      <w:pPr>
        <w:numPr>
          <w:ilvl w:val="0"/>
          <w:numId w:val="5"/>
        </w:numPr>
        <w:spacing w:after="0" w:line="240" w:lineRule="auto"/>
        <w:rPr>
          <w:rFonts w:eastAsia="Times New Roman" w:cs="Times New Roman"/>
        </w:rPr>
      </w:pPr>
      <w:r w:rsidRPr="003723DF">
        <w:rPr>
          <w:rFonts w:eastAsia="Times New Roman" w:cs="Times New Roman"/>
        </w:rPr>
        <w:t xml:space="preserve">Be of minimal risk (see definitions, below) to the subjects; </w:t>
      </w:r>
    </w:p>
    <w:p w:rsidR="003723DF" w:rsidRPr="003723DF" w:rsidRDefault="003723DF" w:rsidP="003723DF">
      <w:pPr>
        <w:numPr>
          <w:ilvl w:val="0"/>
          <w:numId w:val="5"/>
        </w:numPr>
        <w:spacing w:after="0" w:line="240" w:lineRule="auto"/>
        <w:rPr>
          <w:rFonts w:eastAsia="Times New Roman" w:cs="Times New Roman"/>
        </w:rPr>
      </w:pPr>
      <w:r w:rsidRPr="003723DF">
        <w:rPr>
          <w:rFonts w:eastAsia="Times New Roman" w:cs="Times New Roman"/>
        </w:rPr>
        <w:t xml:space="preserve">Must not involve pregnant women, prisoners or mentally impaired persons; </w:t>
      </w:r>
    </w:p>
    <w:p w:rsidR="003723DF" w:rsidRPr="003723DF" w:rsidRDefault="003723DF" w:rsidP="003723DF">
      <w:pPr>
        <w:numPr>
          <w:ilvl w:val="0"/>
          <w:numId w:val="5"/>
        </w:numPr>
        <w:spacing w:after="0" w:line="240" w:lineRule="auto"/>
        <w:rPr>
          <w:rFonts w:eastAsia="Times New Roman" w:cs="Times New Roman"/>
        </w:rPr>
      </w:pPr>
      <w:r w:rsidRPr="003723DF">
        <w:rPr>
          <w:rFonts w:eastAsia="Times New Roman" w:cs="Times New Roman"/>
          <w:b/>
          <w:bCs/>
        </w:rPr>
        <w:t>Involve only procedures listed in one or more of the following categories:</w:t>
      </w:r>
    </w:p>
    <w:p w:rsidR="003723DF" w:rsidRPr="003723DF" w:rsidRDefault="003723DF" w:rsidP="003723DF">
      <w:pPr>
        <w:spacing w:after="0" w:line="240" w:lineRule="auto"/>
        <w:rPr>
          <w:rFonts w:eastAsia="Times New Roman" w:cs="Times New Roman"/>
        </w:rPr>
      </w:pPr>
      <w:r w:rsidRPr="003723DF">
        <w:rPr>
          <w:rFonts w:eastAsia="Times New Roman" w:cs="Times New Roman"/>
          <w:b/>
          <w:bCs/>
        </w:rPr>
        <w:t>Categories for Expedited Review</w:t>
      </w:r>
    </w:p>
    <w:p w:rsidR="003723DF" w:rsidRPr="003723DF" w:rsidRDefault="003723DF" w:rsidP="003723DF">
      <w:pPr>
        <w:numPr>
          <w:ilvl w:val="0"/>
          <w:numId w:val="6"/>
        </w:numPr>
        <w:spacing w:after="0" w:line="240" w:lineRule="auto"/>
        <w:rPr>
          <w:rFonts w:eastAsia="Times New Roman" w:cs="Times New Roman"/>
        </w:rPr>
      </w:pPr>
      <w:r w:rsidRPr="003723DF">
        <w:rPr>
          <w:rFonts w:eastAsia="Times New Roman" w:cs="Times New Roman"/>
        </w:rPr>
        <w:t>Clinical studies of (a) drugs for which an investigational new drug application is not required (Note: research on marketed drugs that significantly increases the risks or decreases the acceptability of the risks associated with the use of the product is not eligible for expedited review), or (b) medical devices for which an investigational device exemption application is not required; or the medical device is cleared/approved for marketing and the medical device is being used in accordance with its cleared/approved labeling.</w:t>
      </w:r>
    </w:p>
    <w:p w:rsidR="003723DF" w:rsidRPr="003723DF" w:rsidRDefault="003723DF" w:rsidP="003723DF">
      <w:pPr>
        <w:numPr>
          <w:ilvl w:val="0"/>
          <w:numId w:val="6"/>
        </w:numPr>
        <w:spacing w:after="0" w:line="240" w:lineRule="auto"/>
        <w:rPr>
          <w:rFonts w:eastAsia="Times New Roman" w:cs="Times New Roman"/>
        </w:rPr>
      </w:pPr>
      <w:r w:rsidRPr="003723DF">
        <w:rPr>
          <w:rFonts w:eastAsia="Times New Roman" w:cs="Times New Roman"/>
        </w:rPr>
        <w:t xml:space="preserve">Collection of blood samples by finger stick, </w:t>
      </w:r>
      <w:proofErr w:type="spellStart"/>
      <w:r w:rsidRPr="003723DF">
        <w:rPr>
          <w:rFonts w:eastAsia="Times New Roman" w:cs="Times New Roman"/>
        </w:rPr>
        <w:t>heel</w:t>
      </w:r>
      <w:proofErr w:type="spellEnd"/>
      <w:r w:rsidRPr="003723DF">
        <w:rPr>
          <w:rFonts w:eastAsia="Times New Roman" w:cs="Times New Roman"/>
        </w:rPr>
        <w:t xml:space="preserve"> stick, ear stick, or venipuncture as follows: (a) from healthy, </w:t>
      </w:r>
      <w:proofErr w:type="spellStart"/>
      <w:r w:rsidRPr="003723DF">
        <w:rPr>
          <w:rFonts w:eastAsia="Times New Roman" w:cs="Times New Roman"/>
        </w:rPr>
        <w:t>nonpregnant</w:t>
      </w:r>
      <w:proofErr w:type="spellEnd"/>
      <w:r w:rsidRPr="003723DF">
        <w:rPr>
          <w:rFonts w:eastAsia="Times New Roman" w:cs="Times New Roman"/>
        </w:rPr>
        <w:t xml:space="preserve"> adults who weigh at least 110 pounds (Note: amounts drawn may not exceed 550 ml in an 8</w:t>
      </w:r>
      <w:r w:rsidR="005662C6">
        <w:rPr>
          <w:rFonts w:eastAsia="Times New Roman" w:cs="Times New Roman"/>
        </w:rPr>
        <w:t>-</w:t>
      </w:r>
      <w:r w:rsidRPr="003723DF">
        <w:rPr>
          <w:rFonts w:eastAsia="Times New Roman" w:cs="Times New Roman"/>
        </w:rPr>
        <w:t>week period and collection may not occur more frequently than two time per week) or (b) from other adults and children, considering the age, weight, and health of the subjects, the collection procedure, the amount of blood to be collected, and the frequency with which it will be collected ( Note: amount drawn may not exceed the lesser of 50 ml or 3 ml per kg in an eight</w:t>
      </w:r>
      <w:r w:rsidR="005662C6">
        <w:rPr>
          <w:rFonts w:eastAsia="Times New Roman" w:cs="Times New Roman"/>
        </w:rPr>
        <w:t>-</w:t>
      </w:r>
      <w:bookmarkStart w:id="0" w:name="_GoBack"/>
      <w:bookmarkEnd w:id="0"/>
      <w:r w:rsidRPr="003723DF">
        <w:rPr>
          <w:rFonts w:eastAsia="Times New Roman" w:cs="Times New Roman"/>
        </w:rPr>
        <w:t>week period and collection may not occur more frequently than two times per week).</w:t>
      </w:r>
    </w:p>
    <w:p w:rsidR="003723DF" w:rsidRPr="003723DF" w:rsidRDefault="003723DF" w:rsidP="003723DF">
      <w:pPr>
        <w:numPr>
          <w:ilvl w:val="0"/>
          <w:numId w:val="6"/>
        </w:numPr>
        <w:spacing w:after="0" w:line="240" w:lineRule="auto"/>
        <w:rPr>
          <w:rFonts w:eastAsia="Times New Roman" w:cs="Times New Roman"/>
        </w:rPr>
      </w:pPr>
      <w:r w:rsidRPr="003723DF">
        <w:rPr>
          <w:rFonts w:eastAsia="Times New Roman" w:cs="Times New Roman"/>
        </w:rPr>
        <w:t xml:space="preserve">Prospective collection of biological specimens for research purposes by noninvasive means. Examples: (a) Hair and nail clippings in a </w:t>
      </w:r>
      <w:proofErr w:type="spellStart"/>
      <w:r w:rsidRPr="003723DF">
        <w:rPr>
          <w:rFonts w:eastAsia="Times New Roman" w:cs="Times New Roman"/>
        </w:rPr>
        <w:t>nondisfiguring</w:t>
      </w:r>
      <w:proofErr w:type="spellEnd"/>
      <w:r w:rsidRPr="003723DF">
        <w:rPr>
          <w:rFonts w:eastAsia="Times New Roman" w:cs="Times New Roman"/>
        </w:rPr>
        <w:t xml:space="preserve"> manner; (b) Deciduous teeth at time of exfoliation or if routine patient care indicates a need for extraction; (c) Permanent teeth if routine patient care indicates a need for extraction; (d) Excreta and external secretions (including sweat); and (e) </w:t>
      </w:r>
      <w:proofErr w:type="spellStart"/>
      <w:r w:rsidRPr="003723DF">
        <w:rPr>
          <w:rFonts w:eastAsia="Times New Roman" w:cs="Times New Roman"/>
        </w:rPr>
        <w:t>Uncannulated</w:t>
      </w:r>
      <w:proofErr w:type="spellEnd"/>
      <w:r w:rsidRPr="003723DF">
        <w:rPr>
          <w:rFonts w:eastAsia="Times New Roman" w:cs="Times New Roman"/>
        </w:rPr>
        <w:t xml:space="preserve"> saliva collected either in an </w:t>
      </w:r>
      <w:proofErr w:type="spellStart"/>
      <w:r w:rsidRPr="003723DF">
        <w:rPr>
          <w:rFonts w:eastAsia="Times New Roman" w:cs="Times New Roman"/>
        </w:rPr>
        <w:t>unstimulated</w:t>
      </w:r>
      <w:proofErr w:type="spellEnd"/>
      <w:r w:rsidRPr="003723DF">
        <w:rPr>
          <w:rFonts w:eastAsia="Times New Roman" w:cs="Times New Roman"/>
        </w:rPr>
        <w:t xml:space="preserve"> fashion or stimulated by chewing </w:t>
      </w:r>
      <w:proofErr w:type="spellStart"/>
      <w:r w:rsidRPr="003723DF">
        <w:rPr>
          <w:rFonts w:eastAsia="Times New Roman" w:cs="Times New Roman"/>
        </w:rPr>
        <w:t>gumbase</w:t>
      </w:r>
      <w:proofErr w:type="spellEnd"/>
      <w:r w:rsidRPr="003723DF">
        <w:rPr>
          <w:rFonts w:eastAsia="Times New Roman" w:cs="Times New Roman"/>
        </w:rPr>
        <w:t xml:space="preserve"> or wax or by applying a dilute citric solution to the tongue; (f) Placenta removal at delivery; (g) Amniotic fluid obtained at the time of rupture of the membrane prior to or during labor; (h) Supra- and </w:t>
      </w:r>
      <w:proofErr w:type="spellStart"/>
      <w:r w:rsidRPr="003723DF">
        <w:rPr>
          <w:rFonts w:eastAsia="Times New Roman" w:cs="Times New Roman"/>
        </w:rPr>
        <w:t>subgingival</w:t>
      </w:r>
      <w:proofErr w:type="spellEnd"/>
      <w:r w:rsidRPr="003723DF">
        <w:rPr>
          <w:rFonts w:eastAsia="Times New Roman" w:cs="Times New Roman"/>
        </w:rPr>
        <w:t xml:space="preserve"> dental plaque and calculus, provided the collection procedure is not more invasive than routine prophylactic scaling of the teeth and the process is accomplished in accordance with accepted prophylactic techniques; (</w:t>
      </w:r>
      <w:proofErr w:type="spellStart"/>
      <w:r w:rsidRPr="003723DF">
        <w:rPr>
          <w:rFonts w:eastAsia="Times New Roman" w:cs="Times New Roman"/>
        </w:rPr>
        <w:t>i</w:t>
      </w:r>
      <w:proofErr w:type="spellEnd"/>
      <w:r w:rsidRPr="003723DF">
        <w:rPr>
          <w:rFonts w:eastAsia="Times New Roman" w:cs="Times New Roman"/>
        </w:rPr>
        <w:t xml:space="preserve">) </w:t>
      </w:r>
      <w:r w:rsidRPr="003723DF">
        <w:rPr>
          <w:rFonts w:eastAsia="Times New Roman" w:cs="Times New Roman"/>
        </w:rPr>
        <w:lastRenderedPageBreak/>
        <w:t xml:space="preserve">Mucosal and skin cells collected by </w:t>
      </w:r>
      <w:proofErr w:type="spellStart"/>
      <w:r w:rsidRPr="003723DF">
        <w:rPr>
          <w:rFonts w:eastAsia="Times New Roman" w:cs="Times New Roman"/>
        </w:rPr>
        <w:t>buccal</w:t>
      </w:r>
      <w:proofErr w:type="spellEnd"/>
      <w:r w:rsidRPr="003723DF">
        <w:rPr>
          <w:rFonts w:eastAsia="Times New Roman" w:cs="Times New Roman"/>
        </w:rPr>
        <w:t xml:space="preserve"> scraping or swab, skin swab, or mouth washings; (j) Sputum collected after saline mist nebulization.</w:t>
      </w:r>
    </w:p>
    <w:p w:rsidR="003723DF" w:rsidRPr="003723DF" w:rsidRDefault="003723DF" w:rsidP="003723DF">
      <w:pPr>
        <w:numPr>
          <w:ilvl w:val="0"/>
          <w:numId w:val="6"/>
        </w:numPr>
        <w:spacing w:after="0" w:line="240" w:lineRule="auto"/>
        <w:rPr>
          <w:rFonts w:eastAsia="Times New Roman" w:cs="Times New Roman"/>
        </w:rPr>
      </w:pPr>
      <w:r w:rsidRPr="003723DF">
        <w:rPr>
          <w:rFonts w:eastAsia="Times New Roman" w:cs="Times New Roman"/>
        </w:rPr>
        <w:t xml:space="preserve">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 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w:t>
      </w:r>
      <w:proofErr w:type="spellStart"/>
      <w:r w:rsidRPr="003723DF">
        <w:rPr>
          <w:rFonts w:eastAsia="Times New Roman" w:cs="Times New Roman"/>
        </w:rPr>
        <w:t>electroretinoraphy</w:t>
      </w:r>
      <w:proofErr w:type="spellEnd"/>
      <w:r w:rsidRPr="003723DF">
        <w:rPr>
          <w:rFonts w:eastAsia="Times New Roman" w:cs="Times New Roman"/>
        </w:rPr>
        <w:t xml:space="preserve">, ultrasound, diagnostic infrared imaging, </w:t>
      </w:r>
      <w:proofErr w:type="spellStart"/>
      <w:r w:rsidRPr="003723DF">
        <w:rPr>
          <w:rFonts w:eastAsia="Times New Roman" w:cs="Times New Roman"/>
        </w:rPr>
        <w:t>doppler</w:t>
      </w:r>
      <w:proofErr w:type="spellEnd"/>
      <w:r w:rsidRPr="003723DF">
        <w:rPr>
          <w:rFonts w:eastAsia="Times New Roman" w:cs="Times New Roman"/>
        </w:rPr>
        <w:t xml:space="preserve"> blood flow, and echocardiography; (e) moderate exercise, muscular strength testing, body composition assessment, and flexibility testing where appropriate given the age, weight and health of the individual.</w:t>
      </w:r>
    </w:p>
    <w:p w:rsidR="003723DF" w:rsidRPr="003723DF" w:rsidRDefault="003723DF" w:rsidP="003723DF">
      <w:pPr>
        <w:numPr>
          <w:ilvl w:val="0"/>
          <w:numId w:val="6"/>
        </w:numPr>
        <w:spacing w:after="0" w:line="240" w:lineRule="auto"/>
        <w:rPr>
          <w:rFonts w:eastAsia="Times New Roman" w:cs="Times New Roman"/>
        </w:rPr>
      </w:pPr>
      <w:r w:rsidRPr="003723DF">
        <w:rPr>
          <w:rFonts w:eastAsia="Times New Roman" w:cs="Times New Roman"/>
        </w:rPr>
        <w:t>Research involving materials (data, documents, records or specimens) that have been collected or will be collected solely for non-research purposes (such as medical treatment or diagnosis).</w:t>
      </w:r>
    </w:p>
    <w:p w:rsidR="003723DF" w:rsidRPr="003723DF" w:rsidRDefault="003723DF" w:rsidP="003723DF">
      <w:pPr>
        <w:numPr>
          <w:ilvl w:val="0"/>
          <w:numId w:val="6"/>
        </w:numPr>
        <w:spacing w:after="0" w:line="240" w:lineRule="auto"/>
        <w:rPr>
          <w:rFonts w:eastAsia="Times New Roman" w:cs="Times New Roman"/>
        </w:rPr>
      </w:pPr>
      <w:r w:rsidRPr="003723DF">
        <w:rPr>
          <w:rFonts w:eastAsia="Times New Roman" w:cs="Times New Roman"/>
        </w:rPr>
        <w:t>Collection of data from voice, video, digital, or image recordings made for research purposes.</w:t>
      </w:r>
    </w:p>
    <w:p w:rsidR="003723DF" w:rsidRDefault="003723DF" w:rsidP="003723DF">
      <w:pPr>
        <w:numPr>
          <w:ilvl w:val="0"/>
          <w:numId w:val="6"/>
        </w:numPr>
        <w:spacing w:after="0" w:line="240" w:lineRule="auto"/>
        <w:rPr>
          <w:rFonts w:eastAsia="Times New Roman" w:cs="Times New Roman"/>
        </w:rPr>
      </w:pPr>
      <w:r w:rsidRPr="003723DF">
        <w:rPr>
          <w:rFonts w:eastAsia="Times New Roman" w:cs="Times New Roman"/>
        </w:rPr>
        <w:t>Research on individual or group characteristics or behavior (including, but not limited to, research on perception, cognition, motivation, identity, language communication, cultural beliefs or practices, social behavior), or research employing survey, interview, oral history, focus group, program evaluation, human factors evaluation, or quality assurance methodologies.</w:t>
      </w:r>
    </w:p>
    <w:p w:rsidR="003723DF" w:rsidRDefault="003723DF" w:rsidP="003723DF">
      <w:pPr>
        <w:numPr>
          <w:ilvl w:val="0"/>
          <w:numId w:val="6"/>
        </w:numPr>
        <w:spacing w:after="0" w:line="240" w:lineRule="auto"/>
      </w:pPr>
      <w:r w:rsidRPr="003723DF">
        <w:rPr>
          <w:rFonts w:eastAsia="Times New Roman" w:cs="Times New Roman"/>
        </w:rPr>
        <w:t>C</w:t>
      </w:r>
      <w:r>
        <w:t xml:space="preserve">ontinuing review of research previously approved by the convened IRB as follows: </w:t>
      </w:r>
    </w:p>
    <w:p w:rsidR="003723DF" w:rsidRDefault="003723DF" w:rsidP="003723DF">
      <w:pPr>
        <w:spacing w:after="0" w:line="240" w:lineRule="auto"/>
        <w:ind w:left="720"/>
      </w:pPr>
      <w:r>
        <w:t>(a) Where (</w:t>
      </w:r>
      <w:proofErr w:type="spellStart"/>
      <w:r>
        <w:t>i</w:t>
      </w:r>
      <w:proofErr w:type="spellEnd"/>
      <w:r>
        <w:t>) the research is permanently closed to the enrollment of new subjects; (ii) all subjects have completed all research-related interventions; and (iii) the research remains active only for long-term follow-up of subjects; or</w:t>
      </w:r>
    </w:p>
    <w:p w:rsidR="003723DF" w:rsidRDefault="003723DF" w:rsidP="003723DF">
      <w:pPr>
        <w:spacing w:after="0" w:line="240" w:lineRule="auto"/>
        <w:ind w:left="720"/>
      </w:pPr>
      <w:r>
        <w:t>(b) Where no subjects have been enrolled and no additional risks have been identified; or</w:t>
      </w:r>
    </w:p>
    <w:p w:rsidR="003723DF" w:rsidRDefault="003723DF" w:rsidP="003723DF">
      <w:pPr>
        <w:spacing w:after="0" w:line="240" w:lineRule="auto"/>
        <w:ind w:left="360" w:firstLine="360"/>
        <w:rPr>
          <w:rFonts w:eastAsia="Times New Roman" w:cs="Times New Roman"/>
        </w:rPr>
      </w:pPr>
      <w:r>
        <w:t>(c) Where the remaining research activities are limited to data analysis.</w:t>
      </w:r>
      <w:r w:rsidRPr="003723DF">
        <w:rPr>
          <w:rFonts w:eastAsia="Times New Roman" w:cs="Times New Roman"/>
        </w:rPr>
        <w:t xml:space="preserve"> </w:t>
      </w:r>
    </w:p>
    <w:p w:rsidR="003723DF" w:rsidRDefault="003723DF" w:rsidP="003723DF">
      <w:pPr>
        <w:numPr>
          <w:ilvl w:val="0"/>
          <w:numId w:val="6"/>
        </w:numPr>
        <w:spacing w:after="0" w:line="240" w:lineRule="auto"/>
      </w:pPr>
      <w:r w:rsidRPr="003723DF">
        <w:rPr>
          <w:rFonts w:eastAsia="Times New Roman" w:cs="Times New Roman"/>
        </w:rPr>
        <w:t>C</w:t>
      </w:r>
      <w:r>
        <w:t xml:space="preserve">ontinuing review of research, not conducted under an investigational new drug </w:t>
      </w:r>
    </w:p>
    <w:p w:rsidR="00200347" w:rsidRPr="003723DF" w:rsidRDefault="003723DF" w:rsidP="003723DF">
      <w:pPr>
        <w:spacing w:after="0" w:line="240" w:lineRule="auto"/>
        <w:ind w:left="720"/>
      </w:pPr>
      <w:r>
        <w:t>application or investigational device exemption where categories two (2) through eight (8) do not apply but the IRB has determined and documented at a convened meeting that the research involves no greater than minimal risk and no additional risks have been identified.</w:t>
      </w:r>
    </w:p>
    <w:sectPr w:rsidR="00200347" w:rsidRPr="00372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0B31"/>
    <w:multiLevelType w:val="multilevel"/>
    <w:tmpl w:val="30E4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54526"/>
    <w:multiLevelType w:val="multilevel"/>
    <w:tmpl w:val="316A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900AC"/>
    <w:multiLevelType w:val="multilevel"/>
    <w:tmpl w:val="04D4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8039E"/>
    <w:multiLevelType w:val="multilevel"/>
    <w:tmpl w:val="D6169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ED2DDA"/>
    <w:multiLevelType w:val="multilevel"/>
    <w:tmpl w:val="67E8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EC1AEE"/>
    <w:multiLevelType w:val="multilevel"/>
    <w:tmpl w:val="8FEE1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3EE"/>
    <w:rsid w:val="003723DF"/>
    <w:rsid w:val="00455185"/>
    <w:rsid w:val="004A7306"/>
    <w:rsid w:val="005662C6"/>
    <w:rsid w:val="00635BFB"/>
    <w:rsid w:val="0094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Atchley, Daniel</dc:creator>
  <cp:lastModifiedBy>Atchley, Daniel</cp:lastModifiedBy>
  <cp:revision>3</cp:revision>
  <dcterms:created xsi:type="dcterms:W3CDTF">2014-04-22T20:44:00Z</dcterms:created>
  <dcterms:modified xsi:type="dcterms:W3CDTF">2014-05-08T20:10:00Z</dcterms:modified>
</cp:coreProperties>
</file>